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EB0EA" w14:textId="064912B3" w:rsidR="003E2846" w:rsidRDefault="00000000">
      <w:pPr>
        <w:spacing w:after="160"/>
      </w:pPr>
      <w:r>
        <w:rPr>
          <w:b/>
          <w:bCs/>
          <w:caps/>
          <w:color w:val="888888"/>
          <w:sz w:val="20"/>
          <w:szCs w:val="20"/>
        </w:rPr>
        <w:t>COMUNICATO STAMPA</w:t>
      </w:r>
      <w:r w:rsidR="00FC0311">
        <w:rPr>
          <w:b/>
          <w:bCs/>
          <w:caps/>
          <w:color w:val="888888"/>
          <w:sz w:val="20"/>
          <w:szCs w:val="20"/>
        </w:rPr>
        <w:t xml:space="preserve"> – Roma, 06/03/2025</w:t>
      </w:r>
    </w:p>
    <w:p w14:paraId="7545C21E" w14:textId="3B29404A" w:rsidR="003E2846" w:rsidRDefault="00000000">
      <w:pPr>
        <w:pBdr>
          <w:bottom w:val="single" w:sz="4" w:space="1" w:color="CCCCCC"/>
        </w:pBdr>
        <w:spacing w:after="200"/>
      </w:pPr>
      <w:r>
        <w:rPr>
          <w:b/>
          <w:bCs/>
          <w:sz w:val="32"/>
          <w:szCs w:val="32"/>
        </w:rPr>
        <w:t xml:space="preserve">STOP AL DDL ANTISEMITISMO: IN POCHE ORE OLTRE </w:t>
      </w:r>
      <w:r w:rsidR="00EF0DC7">
        <w:rPr>
          <w:b/>
          <w:bCs/>
          <w:sz w:val="32"/>
          <w:szCs w:val="32"/>
        </w:rPr>
        <w:t>4.000</w:t>
      </w:r>
      <w:r>
        <w:rPr>
          <w:b/>
          <w:bCs/>
          <w:sz w:val="32"/>
          <w:szCs w:val="32"/>
        </w:rPr>
        <w:t xml:space="preserve"> FIRME. LA MOBILITAZIONE È APERTA.</w:t>
      </w:r>
    </w:p>
    <w:p w14:paraId="1034F32F" w14:textId="72BB7536" w:rsidR="003E2846" w:rsidRDefault="00000000">
      <w:pPr>
        <w:spacing w:after="360"/>
      </w:pPr>
      <w:r>
        <w:rPr>
          <w:i/>
          <w:iCs/>
          <w:color w:val="444444"/>
        </w:rPr>
        <w:t>La petizione lanciata da Possibile a prima firma di Francesca Druetti</w:t>
      </w:r>
      <w:r w:rsidR="006F0646">
        <w:rPr>
          <w:i/>
          <w:iCs/>
          <w:color w:val="444444"/>
        </w:rPr>
        <w:t>,</w:t>
      </w:r>
      <w:r>
        <w:rPr>
          <w:i/>
          <w:iCs/>
          <w:color w:val="444444"/>
        </w:rPr>
        <w:t xml:space="preserve"> Gianmarco Capogna </w:t>
      </w:r>
      <w:r w:rsidR="006F0646">
        <w:rPr>
          <w:i/>
          <w:iCs/>
          <w:color w:val="444444"/>
        </w:rPr>
        <w:t xml:space="preserve">e Marco Vassalotti </w:t>
      </w:r>
      <w:r>
        <w:rPr>
          <w:i/>
          <w:iCs/>
          <w:color w:val="444444"/>
        </w:rPr>
        <w:t xml:space="preserve">raccoglie </w:t>
      </w:r>
      <w:r w:rsidR="00EF0DC7">
        <w:rPr>
          <w:i/>
          <w:iCs/>
          <w:color w:val="444444"/>
        </w:rPr>
        <w:t xml:space="preserve">diverse </w:t>
      </w:r>
      <w:r>
        <w:rPr>
          <w:i/>
          <w:iCs/>
          <w:color w:val="444444"/>
        </w:rPr>
        <w:t>migliaia di adesioni in poche ore. Il DDL n. 1004 deve ancora passare alla Camera: c’è ancora tempo per fermarlo.</w:t>
      </w:r>
    </w:p>
    <w:p w14:paraId="5A621655" w14:textId="1E9F0247" w:rsidR="003E2846" w:rsidRDefault="00000000">
      <w:pPr>
        <w:spacing w:after="200"/>
      </w:pPr>
      <w:r>
        <w:t xml:space="preserve">In poche ore, oltre </w:t>
      </w:r>
      <w:r w:rsidR="00EF0DC7">
        <w:t>4.000</w:t>
      </w:r>
      <w:r>
        <w:t xml:space="preserve"> persone hanno firmato la petizione promossa da Possibile contro il DDL n. 1004, approvato dal Senato della Repubblica su proposta del senatore Massimiliano Romeo e recante “Misure per il contrasto dell’antisemitismo”. Un risultato che va oltre ogni aspettativa di lancio e che testimonia quanto il tema tocchi nel profondo la coscienza democratica del </w:t>
      </w:r>
      <w:r w:rsidR="00A95C57">
        <w:t>P</w:t>
      </w:r>
      <w:r>
        <w:t>aese. L’iter parlamentare non è ancora concluso: il provvedimento deve passare alla Camera, e c’è ancora la possibilità di bloccarlo o modificarlo radicalmente.</w:t>
      </w:r>
    </w:p>
    <w:p w14:paraId="7FFFA6EC" w14:textId="26FEF93E" w:rsidR="003E2846" w:rsidRDefault="00000000">
      <w:pPr>
        <w:pBdr>
          <w:left w:val="single" w:sz="12" w:space="6" w:color="1A5FA8"/>
        </w:pBdr>
        <w:spacing w:before="200" w:after="80"/>
        <w:ind w:left="720" w:right="720"/>
      </w:pPr>
      <w:r>
        <w:rPr>
          <w:i/>
          <w:iCs/>
          <w:color w:val="1A1A1A"/>
        </w:rPr>
        <w:t>“Migliaia di persone hanno risposto in poch</w:t>
      </w:r>
      <w:r w:rsidR="00A95C57">
        <w:rPr>
          <w:i/>
          <w:iCs/>
          <w:color w:val="1A1A1A"/>
        </w:rPr>
        <w:t>issime</w:t>
      </w:r>
      <w:r>
        <w:rPr>
          <w:i/>
          <w:iCs/>
          <w:color w:val="1A1A1A"/>
        </w:rPr>
        <w:t xml:space="preserve"> ore</w:t>
      </w:r>
      <w:r w:rsidR="00A95C57">
        <w:rPr>
          <w:i/>
          <w:iCs/>
          <w:color w:val="1A1A1A"/>
        </w:rPr>
        <w:t xml:space="preserve"> alla nostra mobilitazione</w:t>
      </w:r>
      <w:r>
        <w:rPr>
          <w:i/>
          <w:iCs/>
          <w:color w:val="1A1A1A"/>
        </w:rPr>
        <w:t xml:space="preserve">, e questo ci dice qualcosa di importante: in Italia c’è una coscienza civile viva, che riconosce la differenza tra combattere davvero l’antisemitismo e usarlo come leva per silenziare il dissenso. </w:t>
      </w:r>
      <w:r w:rsidR="00A95C57">
        <w:rPr>
          <w:i/>
          <w:iCs/>
          <w:color w:val="1A1A1A"/>
        </w:rPr>
        <w:t xml:space="preserve">Voglio essere chiara e ribadire la nostra contrarietà ad ogni forma di odio e violenza, ma allo stesso tempo non si può censurare il supporto al popolo palestinese e il contrasto al genocidio in atto. </w:t>
      </w:r>
      <w:r>
        <w:rPr>
          <w:i/>
          <w:iCs/>
          <w:color w:val="1A1A1A"/>
        </w:rPr>
        <w:t>Noi non ci fermiamo qui</w:t>
      </w:r>
      <w:r w:rsidR="00A95C57">
        <w:rPr>
          <w:i/>
          <w:iCs/>
          <w:color w:val="1A1A1A"/>
        </w:rPr>
        <w:t xml:space="preserve"> e vi chiediamo di supportarci in questa battaglia firmando e condividendo la petizione</w:t>
      </w:r>
      <w:r>
        <w:rPr>
          <w:i/>
          <w:iCs/>
          <w:color w:val="1A1A1A"/>
        </w:rPr>
        <w:t>.”</w:t>
      </w:r>
    </w:p>
    <w:p w14:paraId="0DB3A918" w14:textId="52914F4F" w:rsidR="003E2846" w:rsidRDefault="00000000">
      <w:pPr>
        <w:spacing w:after="240"/>
        <w:ind w:left="720"/>
      </w:pPr>
      <w:r>
        <w:rPr>
          <w:b/>
          <w:bCs/>
          <w:color w:val="555555"/>
          <w:sz w:val="20"/>
          <w:szCs w:val="20"/>
        </w:rPr>
        <w:t xml:space="preserve">Francesca Druetti, </w:t>
      </w:r>
      <w:r w:rsidR="00FC0311">
        <w:rPr>
          <w:b/>
          <w:bCs/>
          <w:color w:val="555555"/>
          <w:sz w:val="20"/>
          <w:szCs w:val="20"/>
        </w:rPr>
        <w:t xml:space="preserve">Segretaria Nazionale di </w:t>
      </w:r>
      <w:r>
        <w:rPr>
          <w:b/>
          <w:bCs/>
          <w:color w:val="555555"/>
          <w:sz w:val="20"/>
          <w:szCs w:val="20"/>
        </w:rPr>
        <w:t>Possibile</w:t>
      </w:r>
    </w:p>
    <w:p w14:paraId="406AACD9" w14:textId="56B5EFE4" w:rsidR="003E2846" w:rsidRDefault="00000000">
      <w:pPr>
        <w:spacing w:after="200"/>
      </w:pPr>
      <w:r>
        <w:t>Contrastare l’antisemitismo è un dovere democratico, e su questo non esistono ambiguità. Il problema è che questo DDL non lo fa davvero. Il suo cuore è l’adozione per legge della definizione operativa di antisemitismo dell’IHRA (International Holocaust Remembrance Alliance), una definizione non vincolante a livello internazionale, contestata da giuristi, relatori speciali ONU e organizzazioni per i diritti umani, e che</w:t>
      </w:r>
      <w:r w:rsidR="00A95C57">
        <w:t xml:space="preserve">, </w:t>
      </w:r>
      <w:r>
        <w:t xml:space="preserve">come hanno </w:t>
      </w:r>
      <w:r w:rsidR="00A95C57">
        <w:t>segnalato</w:t>
      </w:r>
      <w:r>
        <w:t xml:space="preserve"> le stesse organizzazioni ebraiche antirazziste</w:t>
      </w:r>
      <w:r w:rsidR="00A95C57">
        <w:t>,</w:t>
      </w:r>
      <w:r>
        <w:t xml:space="preserve"> tende a sovrapporre l’odio razziale con la critica legittima alle politiche dello Stato di Israele. Esistono strumenti più rigorosi e rispettosi della libertà di espressione, come la Jerusalem Declaration on Antisemitism, che il legislatore ha scelto deliberatamente di ignorare.</w:t>
      </w:r>
    </w:p>
    <w:p w14:paraId="5775E456" w14:textId="2ECDE992" w:rsidR="003E2846" w:rsidRDefault="006557D1">
      <w:pPr>
        <w:spacing w:after="200"/>
      </w:pPr>
      <w:r w:rsidRPr="006557D1">
        <w:t>Il rischio più grande è che tale atteggiamento possa estendersi alla possibilità di negare l’autorizzazione a manifestazioni e riunioni pubbliche qualora ritengano presenti “simboli, slogan, messaggi” qualificabili come antisemiti secondo la definizione IHRA, come inizialmente previsto dal testo.</w:t>
      </w:r>
      <w:r>
        <w:t xml:space="preserve"> In un contesto in cui quella definizione è controversa e può includere forme di solidarietà con il popolo palestinese, si tratta di uno strumento discrezionale potentissimo nelle mani dello Stato per bloccare proteste e cortei. Un attacco diretto all’articolo 17 della Costituzione. Non è un rischio astratto: in Germania e negli Stati Uniti strumenti </w:t>
      </w:r>
      <w:r>
        <w:lastRenderedPageBreak/>
        <w:t>analoghi sono già stati usati per reprimere mobilitazioni politiche e silenziare voci critiche nelle università e nella società civile.</w:t>
      </w:r>
    </w:p>
    <w:p w14:paraId="60C59979" w14:textId="202FF3CC" w:rsidR="003E2846" w:rsidRDefault="00000000">
      <w:pPr>
        <w:pBdr>
          <w:left w:val="single" w:sz="12" w:space="6" w:color="1A5FA8"/>
        </w:pBdr>
        <w:spacing w:before="200" w:after="80"/>
        <w:ind w:left="720" w:right="720"/>
      </w:pPr>
      <w:r>
        <w:rPr>
          <w:i/>
          <w:iCs/>
          <w:color w:val="1A1A1A"/>
        </w:rPr>
        <w:t>“</w:t>
      </w:r>
      <w:r w:rsidR="00A95C57" w:rsidRPr="00A95C57">
        <w:rPr>
          <w:i/>
          <w:iCs/>
          <w:color w:val="1A1A1A"/>
        </w:rPr>
        <w:t xml:space="preserve">Questa legge dice di voler proteggere le persone ebree, ma le </w:t>
      </w:r>
      <w:r w:rsidR="00A95C57">
        <w:rPr>
          <w:i/>
          <w:iCs/>
          <w:color w:val="1A1A1A"/>
        </w:rPr>
        <w:t xml:space="preserve">stesse </w:t>
      </w:r>
      <w:r w:rsidR="00A95C57" w:rsidRPr="00A95C57">
        <w:rPr>
          <w:i/>
          <w:iCs/>
          <w:color w:val="1A1A1A"/>
        </w:rPr>
        <w:t xml:space="preserve">organizzazioni ebraiche antirazziste sono tra le prime a </w:t>
      </w:r>
      <w:r w:rsidR="00A95C57">
        <w:rPr>
          <w:i/>
          <w:iCs/>
          <w:color w:val="1A1A1A"/>
        </w:rPr>
        <w:t>dire che la definizione IHRA non le tutela</w:t>
      </w:r>
      <w:r w:rsidR="00A95C57" w:rsidRPr="00A95C57">
        <w:rPr>
          <w:i/>
          <w:iCs/>
          <w:color w:val="1A1A1A"/>
        </w:rPr>
        <w:t xml:space="preserve">. </w:t>
      </w:r>
      <w:r w:rsidR="00A95C57">
        <w:rPr>
          <w:i/>
          <w:iCs/>
          <w:color w:val="1A1A1A"/>
        </w:rPr>
        <w:t>Chiediamo ai parlamentari di riflettere come abbiamo fatto noi perché questa legge è sbagliata e maschera la volontà di criminalizzare il dissenso usando il tema, quanto mai importante, dell’antisemitismo. Ribadiamo che la</w:t>
      </w:r>
      <w:r w:rsidR="00A95C57" w:rsidRPr="00A95C57">
        <w:rPr>
          <w:i/>
          <w:iCs/>
          <w:color w:val="1A1A1A"/>
        </w:rPr>
        <w:t xml:space="preserve"> solidarietà con il popolo palestinese</w:t>
      </w:r>
      <w:r w:rsidR="00A95C57">
        <w:rPr>
          <w:i/>
          <w:iCs/>
          <w:color w:val="1A1A1A"/>
        </w:rPr>
        <w:t xml:space="preserve"> e la </w:t>
      </w:r>
      <w:r w:rsidR="00A95C57" w:rsidRPr="00A95C57">
        <w:rPr>
          <w:i/>
          <w:iCs/>
          <w:color w:val="1A1A1A"/>
        </w:rPr>
        <w:t>critica a un governo che la Corte Internazionale di Giustizia sta esaminando per violazioni gravissime del diritto internazionale non sono posizioni estreme, sono posizioni umane. Difenderle oggi significa difendere la possibilità stessa di fare politica domani</w:t>
      </w:r>
      <w:r w:rsidR="00A95C57">
        <w:rPr>
          <w:i/>
          <w:iCs/>
          <w:color w:val="1A1A1A"/>
        </w:rPr>
        <w:t>. Usiamo e rafforziamo gli strumenti normativi che già esistono per contrastare ogni forma di odio</w:t>
      </w:r>
      <w:r>
        <w:rPr>
          <w:i/>
          <w:iCs/>
          <w:color w:val="1A1A1A"/>
        </w:rPr>
        <w:t>.”</w:t>
      </w:r>
    </w:p>
    <w:p w14:paraId="179D95D2" w14:textId="6A096A18" w:rsidR="003E2846" w:rsidRDefault="00000000">
      <w:pPr>
        <w:spacing w:after="240"/>
        <w:ind w:left="720"/>
      </w:pPr>
      <w:r>
        <w:rPr>
          <w:b/>
          <w:bCs/>
          <w:color w:val="555555"/>
          <w:sz w:val="20"/>
          <w:szCs w:val="20"/>
        </w:rPr>
        <w:t xml:space="preserve">Gianmarco Capogna, </w:t>
      </w:r>
      <w:r w:rsidR="00FC0311">
        <w:rPr>
          <w:b/>
          <w:bCs/>
          <w:color w:val="555555"/>
          <w:sz w:val="20"/>
          <w:szCs w:val="20"/>
        </w:rPr>
        <w:t xml:space="preserve">Coordinatore Comitato Scientifico di </w:t>
      </w:r>
      <w:r>
        <w:rPr>
          <w:b/>
          <w:bCs/>
          <w:color w:val="555555"/>
          <w:sz w:val="20"/>
          <w:szCs w:val="20"/>
        </w:rPr>
        <w:t>Possibile</w:t>
      </w:r>
    </w:p>
    <w:p w14:paraId="13894B1F" w14:textId="5D12AB76" w:rsidR="003E2846" w:rsidRDefault="00000000">
      <w:pPr>
        <w:spacing w:after="200"/>
      </w:pPr>
      <w:r>
        <w:t>L’antisemitismo</w:t>
      </w:r>
      <w:r w:rsidR="00A95C57">
        <w:t xml:space="preserve"> </w:t>
      </w:r>
      <w:r>
        <w:t>è già perseguibile nel nostro ordinamento attraverso la Legge Mancino e le norme penali contro l’odio razziale, etnico e religioso. Il problema non è l’assenza di strumenti, ma la loro applicazione disomogenea e la mancanza di una legge organica che tuteli tutte le vittime dell’odio, senza gerarchie e senza silenziare il dissenso.</w:t>
      </w:r>
    </w:p>
    <w:p w14:paraId="41E2D0CD" w14:textId="2C689D12" w:rsidR="00FC0311" w:rsidRDefault="00FC0311" w:rsidP="00FC0311">
      <w:pPr>
        <w:pBdr>
          <w:left w:val="single" w:sz="12" w:space="6" w:color="1A5FA8"/>
        </w:pBdr>
        <w:spacing w:before="200" w:after="80"/>
        <w:ind w:left="720" w:right="720"/>
      </w:pPr>
      <w:r w:rsidRPr="00FC0311">
        <w:rPr>
          <w:i/>
          <w:iCs/>
          <w:color w:val="1A1A1A"/>
        </w:rPr>
        <w:t>"</w:t>
      </w:r>
      <w:r w:rsidR="00EF0DC7">
        <w:rPr>
          <w:i/>
          <w:iCs/>
          <w:color w:val="1A1A1A"/>
        </w:rPr>
        <w:t>Quattromila</w:t>
      </w:r>
      <w:r w:rsidRPr="00FC0311">
        <w:rPr>
          <w:i/>
          <w:iCs/>
          <w:color w:val="1A1A1A"/>
        </w:rPr>
        <w:t xml:space="preserve"> firme in poche ore non sono un numero: sono </w:t>
      </w:r>
      <w:r w:rsidR="00EF0DC7">
        <w:rPr>
          <w:i/>
          <w:iCs/>
          <w:color w:val="1A1A1A"/>
        </w:rPr>
        <w:t>quattromila</w:t>
      </w:r>
      <w:r w:rsidRPr="00FC0311">
        <w:rPr>
          <w:i/>
          <w:iCs/>
          <w:color w:val="1A1A1A"/>
        </w:rPr>
        <w:t xml:space="preserve"> persone che hanno detto 'questa legge non mi rappresenta'. La politica cambia quando le persone si muovono insieme</w:t>
      </w:r>
      <w:r>
        <w:rPr>
          <w:i/>
          <w:iCs/>
          <w:color w:val="1A1A1A"/>
        </w:rPr>
        <w:t xml:space="preserve">, </w:t>
      </w:r>
      <w:r w:rsidRPr="00FC0311">
        <w:rPr>
          <w:i/>
          <w:iCs/>
          <w:color w:val="1A1A1A"/>
        </w:rPr>
        <w:t>non basta essere indignati, bisogna esserlo ad alta voce. Ogni firma che arriva è una voce in più che i parlamentari non possono ignorare. Aggiungi la tua, e chiedi a chi conosci di fare lo stesso."</w:t>
      </w:r>
    </w:p>
    <w:p w14:paraId="35275B35" w14:textId="6F7647E8" w:rsidR="00FC0311" w:rsidRDefault="00FC0311" w:rsidP="00FC0311">
      <w:pPr>
        <w:spacing w:after="240"/>
        <w:ind w:left="720"/>
      </w:pPr>
      <w:r>
        <w:rPr>
          <w:b/>
          <w:bCs/>
          <w:color w:val="555555"/>
          <w:sz w:val="20"/>
          <w:szCs w:val="20"/>
        </w:rPr>
        <w:t>Marco Vassalotti, Coordinatore Comitato Organizzativo di Possibile</w:t>
      </w:r>
    </w:p>
    <w:p w14:paraId="15138FB9" w14:textId="58803B63" w:rsidR="003E2846" w:rsidRDefault="00000000">
      <w:pPr>
        <w:spacing w:after="200"/>
      </w:pPr>
      <w:r>
        <w:t>Chiediamo ai parlamentari di fermare o modificare radicalmente il DDL nel corso dell’esame alla Camera: rinunciare all’adozione vincolante della definizione IHRA, aprire un confronto reale con giuristi, comunità ebraiche plurali e società civile, e lavorare a una legge universale contro i crimini d’odio nel rispetto della Costituzione. La libertà di espressione, il diritto di manifestare, la solidarietà con il popolo palestinese e la critica a un governo non sono negoziabili. La sicurezza delle persone ebree, come quella di ogni minoranza, si costruisce rafforzando la lotta contro ogni forma di razzismo</w:t>
      </w:r>
      <w:r w:rsidR="00A95C57">
        <w:t xml:space="preserve"> e odio,</w:t>
      </w:r>
      <w:r>
        <w:t xml:space="preserve"> non criminalizzando il dissenso politico.</w:t>
      </w:r>
    </w:p>
    <w:p w14:paraId="2A7D6D2C" w14:textId="77777777" w:rsidR="003E2846" w:rsidRDefault="00000000">
      <w:pPr>
        <w:pBdr>
          <w:top w:val="single" w:sz="4" w:space="6" w:color="1A5FA8"/>
          <w:bottom w:val="single" w:sz="4" w:space="6" w:color="1A5FA8"/>
        </w:pBdr>
        <w:spacing w:before="240" w:after="400"/>
      </w:pPr>
      <w:r>
        <w:rPr>
          <w:b/>
          <w:bCs/>
          <w:color w:val="1A5FA8"/>
          <w:sz w:val="26"/>
          <w:szCs w:val="26"/>
        </w:rPr>
        <w:t>Firma e fai girare la petizione: possibile.com/unafirmaper</w:t>
      </w:r>
    </w:p>
    <w:p w14:paraId="28D1F6F8" w14:textId="25356640" w:rsidR="003E2846" w:rsidRDefault="00000000">
      <w:pPr>
        <w:pBdr>
          <w:top w:val="single" w:sz="2" w:space="1" w:color="DDDDDD"/>
        </w:pBdr>
        <w:spacing w:before="200"/>
      </w:pPr>
      <w:r>
        <w:rPr>
          <w:color w:val="888888"/>
          <w:sz w:val="20"/>
          <w:szCs w:val="20"/>
        </w:rPr>
        <w:t xml:space="preserve">Per informazioni e contatti stampa: </w:t>
      </w:r>
      <w:r w:rsidR="00A95C57">
        <w:rPr>
          <w:color w:val="888888"/>
          <w:sz w:val="20"/>
          <w:szCs w:val="20"/>
        </w:rPr>
        <w:t>info</w:t>
      </w:r>
      <w:r>
        <w:rPr>
          <w:color w:val="888888"/>
          <w:sz w:val="20"/>
          <w:szCs w:val="20"/>
        </w:rPr>
        <w:t>@possibile.com</w:t>
      </w:r>
    </w:p>
    <w:sectPr w:rsidR="003E2846">
      <w:headerReference w:type="default" r:id="rId7"/>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A82D7" w14:textId="77777777" w:rsidR="009B5F1A" w:rsidRDefault="009B5F1A" w:rsidP="00FC0311">
      <w:r>
        <w:separator/>
      </w:r>
    </w:p>
  </w:endnote>
  <w:endnote w:type="continuationSeparator" w:id="0">
    <w:p w14:paraId="6989D826" w14:textId="77777777" w:rsidR="009B5F1A" w:rsidRDefault="009B5F1A" w:rsidP="00FC03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DC99E" w14:textId="77777777" w:rsidR="009B5F1A" w:rsidRDefault="009B5F1A" w:rsidP="00FC0311">
      <w:r>
        <w:separator/>
      </w:r>
    </w:p>
  </w:footnote>
  <w:footnote w:type="continuationSeparator" w:id="0">
    <w:p w14:paraId="47FCA652" w14:textId="77777777" w:rsidR="009B5F1A" w:rsidRDefault="009B5F1A" w:rsidP="00FC03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F89B1" w14:textId="79C9992B" w:rsidR="00FC0311" w:rsidRDefault="00FC0311">
    <w:pPr>
      <w:pStyle w:val="Intestazione"/>
    </w:pPr>
    <w:r>
      <w:rPr>
        <w:noProof/>
      </w:rPr>
      <w:drawing>
        <wp:inline distT="0" distB="0" distL="0" distR="0" wp14:anchorId="460609BF" wp14:editId="414686E0">
          <wp:extent cx="754380" cy="754380"/>
          <wp:effectExtent l="0" t="0" r="7620" b="7620"/>
          <wp:docPr id="55806161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061612" name="Immagine 558061612"/>
                  <pic:cNvPicPr/>
                </pic:nvPicPr>
                <pic:blipFill>
                  <a:blip r:embed="rId1">
                    <a:extLst>
                      <a:ext uri="{28A0092B-C50C-407E-A947-70E740481C1C}">
                        <a14:useLocalDpi xmlns:a14="http://schemas.microsoft.com/office/drawing/2010/main" val="0"/>
                      </a:ext>
                    </a:extLst>
                  </a:blip>
                  <a:stretch>
                    <a:fillRect/>
                  </a:stretch>
                </pic:blipFill>
                <pic:spPr>
                  <a:xfrm>
                    <a:off x="0" y="0"/>
                    <a:ext cx="754380" cy="754380"/>
                  </a:xfrm>
                  <a:prstGeom prst="rect">
                    <a:avLst/>
                  </a:prstGeom>
                </pic:spPr>
              </pic:pic>
            </a:graphicData>
          </a:graphic>
        </wp:inline>
      </w:drawing>
    </w:r>
  </w:p>
  <w:p w14:paraId="6360520E" w14:textId="77777777" w:rsidR="00FC0311" w:rsidRDefault="00FC031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80406"/>
    <w:multiLevelType w:val="hybridMultilevel"/>
    <w:tmpl w:val="35AA1C42"/>
    <w:lvl w:ilvl="0" w:tplc="729EAA16">
      <w:start w:val="1"/>
      <w:numFmt w:val="bullet"/>
      <w:lvlText w:val="●"/>
      <w:lvlJc w:val="left"/>
      <w:pPr>
        <w:ind w:left="720" w:hanging="360"/>
      </w:pPr>
    </w:lvl>
    <w:lvl w:ilvl="1" w:tplc="7E12EB18">
      <w:start w:val="1"/>
      <w:numFmt w:val="bullet"/>
      <w:lvlText w:val="○"/>
      <w:lvlJc w:val="left"/>
      <w:pPr>
        <w:ind w:left="1440" w:hanging="360"/>
      </w:pPr>
    </w:lvl>
    <w:lvl w:ilvl="2" w:tplc="A22ABAC6">
      <w:start w:val="1"/>
      <w:numFmt w:val="bullet"/>
      <w:lvlText w:val="■"/>
      <w:lvlJc w:val="left"/>
      <w:pPr>
        <w:ind w:left="2160" w:hanging="360"/>
      </w:pPr>
    </w:lvl>
    <w:lvl w:ilvl="3" w:tplc="EC729362">
      <w:start w:val="1"/>
      <w:numFmt w:val="bullet"/>
      <w:lvlText w:val="●"/>
      <w:lvlJc w:val="left"/>
      <w:pPr>
        <w:ind w:left="2880" w:hanging="360"/>
      </w:pPr>
    </w:lvl>
    <w:lvl w:ilvl="4" w:tplc="8C0ADA2A">
      <w:start w:val="1"/>
      <w:numFmt w:val="bullet"/>
      <w:lvlText w:val="○"/>
      <w:lvlJc w:val="left"/>
      <w:pPr>
        <w:ind w:left="3600" w:hanging="360"/>
      </w:pPr>
    </w:lvl>
    <w:lvl w:ilvl="5" w:tplc="06F07A5E">
      <w:start w:val="1"/>
      <w:numFmt w:val="bullet"/>
      <w:lvlText w:val="■"/>
      <w:lvlJc w:val="left"/>
      <w:pPr>
        <w:ind w:left="4320" w:hanging="360"/>
      </w:pPr>
    </w:lvl>
    <w:lvl w:ilvl="6" w:tplc="D52EE4BC">
      <w:start w:val="1"/>
      <w:numFmt w:val="bullet"/>
      <w:lvlText w:val="●"/>
      <w:lvlJc w:val="left"/>
      <w:pPr>
        <w:ind w:left="5040" w:hanging="360"/>
      </w:pPr>
    </w:lvl>
    <w:lvl w:ilvl="7" w:tplc="A224B43C">
      <w:start w:val="1"/>
      <w:numFmt w:val="bullet"/>
      <w:lvlText w:val="●"/>
      <w:lvlJc w:val="left"/>
      <w:pPr>
        <w:ind w:left="5760" w:hanging="360"/>
      </w:pPr>
    </w:lvl>
    <w:lvl w:ilvl="8" w:tplc="00D8A746">
      <w:start w:val="1"/>
      <w:numFmt w:val="bullet"/>
      <w:lvlText w:val="●"/>
      <w:lvlJc w:val="left"/>
      <w:pPr>
        <w:ind w:left="6480" w:hanging="360"/>
      </w:pPr>
    </w:lvl>
  </w:abstractNum>
  <w:num w:numId="1" w16cid:durableId="194807637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846"/>
    <w:rsid w:val="00030E70"/>
    <w:rsid w:val="003E2846"/>
    <w:rsid w:val="005C1418"/>
    <w:rsid w:val="0062013D"/>
    <w:rsid w:val="006557D1"/>
    <w:rsid w:val="006F0646"/>
    <w:rsid w:val="007E3070"/>
    <w:rsid w:val="0092164C"/>
    <w:rsid w:val="009B5F1A"/>
    <w:rsid w:val="00A95C57"/>
    <w:rsid w:val="00BD4E56"/>
    <w:rsid w:val="00D33F92"/>
    <w:rsid w:val="00EF0DC7"/>
    <w:rsid w:val="00F34978"/>
    <w:rsid w:val="00FC0311"/>
    <w:rsid w:val="00FF6E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B192E"/>
  <w15:docId w15:val="{8C9D7AC0-5D4F-43E5-AB68-80868043F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uiPriority w:val="9"/>
    <w:qFormat/>
    <w:pPr>
      <w:spacing w:before="320" w:after="160"/>
      <w:outlineLvl w:val="0"/>
    </w:pPr>
    <w:rPr>
      <w:b/>
      <w:bCs/>
      <w:sz w:val="28"/>
      <w:szCs w:val="28"/>
    </w:rPr>
  </w:style>
  <w:style w:type="paragraph" w:styleId="Titolo2">
    <w:name w:val="heading 2"/>
    <w:uiPriority w:val="9"/>
    <w:semiHidden/>
    <w:unhideWhenUsed/>
    <w:qFormat/>
    <w:pPr>
      <w:outlineLvl w:val="1"/>
    </w:pPr>
    <w:rPr>
      <w:color w:val="2E74B5"/>
      <w:sz w:val="26"/>
      <w:szCs w:val="26"/>
    </w:rPr>
  </w:style>
  <w:style w:type="paragraph" w:styleId="Titolo3">
    <w:name w:val="heading 3"/>
    <w:uiPriority w:val="9"/>
    <w:semiHidden/>
    <w:unhideWhenUsed/>
    <w:qFormat/>
    <w:pPr>
      <w:outlineLvl w:val="2"/>
    </w:pPr>
    <w:rPr>
      <w:color w:val="1F4D78"/>
    </w:rPr>
  </w:style>
  <w:style w:type="paragraph" w:styleId="Titolo4">
    <w:name w:val="heading 4"/>
    <w:uiPriority w:val="9"/>
    <w:semiHidden/>
    <w:unhideWhenUsed/>
    <w:qFormat/>
    <w:pPr>
      <w:outlineLvl w:val="3"/>
    </w:pPr>
    <w:rPr>
      <w:i/>
      <w:iCs/>
      <w:color w:val="2E74B5"/>
    </w:rPr>
  </w:style>
  <w:style w:type="paragraph" w:styleId="Titolo5">
    <w:name w:val="heading 5"/>
    <w:uiPriority w:val="9"/>
    <w:semiHidden/>
    <w:unhideWhenUsed/>
    <w:qFormat/>
    <w:pPr>
      <w:outlineLvl w:val="4"/>
    </w:pPr>
    <w:rPr>
      <w:color w:val="2E74B5"/>
    </w:rPr>
  </w:style>
  <w:style w:type="paragraph" w:styleId="Titolo6">
    <w:name w:val="heading 6"/>
    <w:uiPriority w:val="9"/>
    <w:semiHidden/>
    <w:unhideWhenUsed/>
    <w:qFormat/>
    <w:pPr>
      <w:outlineLvl w:val="5"/>
    </w:pPr>
    <w:rPr>
      <w:color w:val="1F4D7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uiPriority w:val="10"/>
    <w:qFormat/>
    <w:rPr>
      <w:sz w:val="56"/>
      <w:szCs w:val="56"/>
    </w:rPr>
  </w:style>
  <w:style w:type="paragraph" w:customStyle="1" w:styleId="Enfasigrassetto1">
    <w:name w:val="Enfasi (grassetto)1"/>
    <w:qFormat/>
    <w:rPr>
      <w:b/>
      <w:bCs/>
    </w:rPr>
  </w:style>
  <w:style w:type="paragraph" w:styleId="Paragrafoelenco">
    <w:name w:val="List Paragraph"/>
    <w:qFormat/>
  </w:style>
  <w:style w:type="character" w:styleId="Collegamentoipertestuale">
    <w:name w:val="Hyperlink"/>
    <w:uiPriority w:val="99"/>
    <w:unhideWhenUsed/>
    <w:rPr>
      <w:color w:val="0563C1"/>
      <w:u w:val="single"/>
    </w:rPr>
  </w:style>
  <w:style w:type="character" w:styleId="Rimandonotaapidipagina">
    <w:name w:val="footnote reference"/>
    <w:uiPriority w:val="99"/>
    <w:semiHidden/>
    <w:unhideWhenUsed/>
    <w:rPr>
      <w:vertAlign w:val="superscript"/>
    </w:rPr>
  </w:style>
  <w:style w:type="paragraph" w:styleId="Testonotaapidipagina">
    <w:name w:val="footnote text"/>
    <w:link w:val="TestonotaapidipaginaCarattere"/>
    <w:uiPriority w:val="99"/>
    <w:semiHidden/>
    <w:unhideWhenUsed/>
    <w:rPr>
      <w:sz w:val="20"/>
      <w:szCs w:val="20"/>
    </w:rPr>
  </w:style>
  <w:style w:type="character" w:customStyle="1" w:styleId="TestonotaapidipaginaCarattere">
    <w:name w:val="Testo nota a piè di pagina Carattere"/>
    <w:link w:val="Testonotaapidipagina"/>
    <w:uiPriority w:val="99"/>
    <w:semiHidden/>
    <w:unhideWhenUsed/>
    <w:rPr>
      <w:sz w:val="20"/>
      <w:szCs w:val="20"/>
    </w:rPr>
  </w:style>
  <w:style w:type="paragraph" w:styleId="Intestazione">
    <w:name w:val="header"/>
    <w:basedOn w:val="Normale"/>
    <w:link w:val="IntestazioneCarattere"/>
    <w:uiPriority w:val="99"/>
    <w:unhideWhenUsed/>
    <w:rsid w:val="00FC0311"/>
    <w:pPr>
      <w:tabs>
        <w:tab w:val="center" w:pos="4819"/>
        <w:tab w:val="right" w:pos="9638"/>
      </w:tabs>
    </w:pPr>
  </w:style>
  <w:style w:type="character" w:customStyle="1" w:styleId="IntestazioneCarattere">
    <w:name w:val="Intestazione Carattere"/>
    <w:basedOn w:val="Carpredefinitoparagrafo"/>
    <w:link w:val="Intestazione"/>
    <w:uiPriority w:val="99"/>
    <w:rsid w:val="00FC0311"/>
  </w:style>
  <w:style w:type="paragraph" w:styleId="Pidipagina">
    <w:name w:val="footer"/>
    <w:basedOn w:val="Normale"/>
    <w:link w:val="PidipaginaCarattere"/>
    <w:uiPriority w:val="99"/>
    <w:unhideWhenUsed/>
    <w:rsid w:val="00FC0311"/>
    <w:pPr>
      <w:tabs>
        <w:tab w:val="center" w:pos="4819"/>
        <w:tab w:val="right" w:pos="9638"/>
      </w:tabs>
    </w:pPr>
  </w:style>
  <w:style w:type="character" w:customStyle="1" w:styleId="PidipaginaCarattere">
    <w:name w:val="Piè di pagina Carattere"/>
    <w:basedOn w:val="Carpredefinitoparagrafo"/>
    <w:link w:val="Pidipagina"/>
    <w:uiPriority w:val="99"/>
    <w:rsid w:val="00FC03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827</Words>
  <Characters>4719</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Utente02 CNG</cp:lastModifiedBy>
  <cp:revision>4</cp:revision>
  <dcterms:created xsi:type="dcterms:W3CDTF">2026-03-06T10:32:00Z</dcterms:created>
  <dcterms:modified xsi:type="dcterms:W3CDTF">2026-03-06T13:14:00Z</dcterms:modified>
</cp:coreProperties>
</file>